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6B" w:rsidRDefault="0073656B" w:rsidP="0073656B">
      <w:pPr>
        <w:overflowPunct w:val="0"/>
        <w:adjustRightInd w:val="0"/>
        <w:snapToGrid w:val="0"/>
        <w:spacing w:line="300" w:lineRule="auto"/>
        <w:jc w:val="center"/>
        <w:rPr>
          <w:rFonts w:eastAsia="方正小标宋_GBK" w:hint="eastAsia"/>
          <w:sz w:val="44"/>
          <w:szCs w:val="44"/>
        </w:rPr>
      </w:pPr>
    </w:p>
    <w:p w:rsidR="0073656B" w:rsidRPr="00DB17C2" w:rsidRDefault="0073656B" w:rsidP="0073656B">
      <w:pPr>
        <w:overflowPunct w:val="0"/>
        <w:adjustRightInd w:val="0"/>
        <w:snapToGrid w:val="0"/>
        <w:spacing w:line="300" w:lineRule="auto"/>
        <w:jc w:val="center"/>
        <w:rPr>
          <w:rFonts w:eastAsia="方正小标宋_GBK"/>
          <w:sz w:val="44"/>
          <w:szCs w:val="44"/>
        </w:rPr>
      </w:pPr>
      <w:r w:rsidRPr="00DB17C2">
        <w:rPr>
          <w:rFonts w:eastAsia="方正小标宋_GBK" w:hint="eastAsia"/>
          <w:sz w:val="44"/>
          <w:szCs w:val="44"/>
        </w:rPr>
        <w:t>南京市土地行政处罚裁量权实施细则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880"/>
        <w:rPr>
          <w:rFonts w:eastAsia="方正小标宋_GBK"/>
          <w:sz w:val="44"/>
          <w:szCs w:val="44"/>
        </w:rPr>
      </w:pP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第一条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为了规范本市土地行政处罚裁量权，保护公民、法人或者其他组织的合法权益，根据《中华人民共和国行政处罚法》《江苏省土地行政处罚裁量权实施办法》以及土地管理法律、法规、规章等相关规定，结合本市实际，制定本细则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第二条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规划和自然资源行政主管部门（以下简称规划资源部门）对依法立案查处的土地违法行为是否给予行政处罚、给予何种行政处罚和何种幅度的行政处罚进行裁量时，应当适用本细则。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实行相对集中行政处罚权的综合行政执法部门、镇人民政府、街道办事处等，履行立案查处土地违法行为职责的，适用本细则。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第三条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规划资源部门实施土地行政处罚，行使裁量权时，应当遵循以下原则：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（一）合法原则。应当依照法定依据、法定程序，在法律、法规、规章确定的处罚种类、幅度内行使，充分保障当事人的合法权益。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（二）处罚与教育相结合原则。应当将教育先行、鼓励主动整改与实施处罚相结合，教育和引导公民、法人或者其他组</w:t>
      </w:r>
      <w:r w:rsidRPr="00CA2B67">
        <w:rPr>
          <w:rFonts w:eastAsia="方正仿宋_GBK" w:hint="eastAsia"/>
          <w:sz w:val="32"/>
          <w:szCs w:val="32"/>
        </w:rPr>
        <w:lastRenderedPageBreak/>
        <w:t>织自觉守法。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（三）过罚相当原则。处罚结果应当与违法行为的事实、性质、情节以及社会危害程度相当，避免行政处罚畸重畸轻，轻责重罚、重责轻罚。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（四）公平公正原则。对于违法行为的事实、性质、情节以及社会危害程度相近的违法案件，应当适用相同或者相近的裁量标准。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黑体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（五）综合考量原则。应当对违法事实、性质、情节以及社会危害程度等进行全面调查取证、综合审查，确定需要适用的裁量标准。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第四条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有下列情形之一的，依法不予行政处罚：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（一）违法行为轻微并及时改正，没有造成危害后果的；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（二）当事人有证据足以证明没有主观过错，且没有造成危害后果的；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（三）违法行为超过行政处罚追责时效的；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（四）其他依法应当不予行政处罚的。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第五条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有下列情形之一的，可以不予行政处罚：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（一）当事人为初次违法，属于“未供即用”类违法用地，已具备按国有土地划拨或集体土地使用方式完善用地手续条件（集体经营性建设用地除外），且已提交完善用地手续申请的；</w:t>
      </w:r>
    </w:p>
    <w:p w:rsidR="0073656B" w:rsidRPr="00CA2B67" w:rsidRDefault="0073656B" w:rsidP="0073656B">
      <w:pPr>
        <w:pStyle w:val="a5"/>
        <w:overflowPunct w:val="0"/>
        <w:adjustRightInd w:val="0"/>
        <w:snapToGrid w:val="0"/>
        <w:spacing w:line="300" w:lineRule="auto"/>
        <w:ind w:firstLineChars="200" w:firstLine="640"/>
        <w:jc w:val="both"/>
        <w:rPr>
          <w:rFonts w:eastAsia="方正仿宋_GBK"/>
          <w:spacing w:val="0"/>
          <w:sz w:val="32"/>
          <w:szCs w:val="32"/>
        </w:rPr>
      </w:pPr>
      <w:r w:rsidRPr="00CA2B67">
        <w:rPr>
          <w:rFonts w:eastAsia="方正仿宋_GBK" w:hint="eastAsia"/>
          <w:spacing w:val="0"/>
          <w:sz w:val="32"/>
          <w:szCs w:val="32"/>
        </w:rPr>
        <w:t>（二）行政处罚告知作出前，当事人主动拆除整改到位或恢复原状的；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lastRenderedPageBreak/>
        <w:t>（三）符合设施农用地办理条件，经督促在规定期限内办理设施农用地备案手续的；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（四）符合临时用地办理条件，经督促在规定期限内办理临时用地审批手续的；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</w:pPr>
      <w:r w:rsidRPr="00CA2B67">
        <w:rPr>
          <w:rFonts w:eastAsia="方正仿宋_GBK" w:hint="eastAsia"/>
          <w:sz w:val="32"/>
          <w:szCs w:val="32"/>
        </w:rPr>
        <w:t>（五）其他依法可以不予行政处罚的。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对当事人的违法行为不予行政处罚的，行政机关应当对当事人进行教育，并签订承诺书（详见附件），做好全过程记录。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第六条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法律法规规定可以并处罚款，有下列情形之一的，可以不并处罚款：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（一）立案查处前已经取得农用地转用、土地征收手续的；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（二）不涉及占用永久基本农田，当事人在行政处罚决定作出前，主动拆除整改到位或恢复原状的。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第七条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有下列情形之一的，应当从轻或者减轻行政处罚：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（一）主动消除或者减轻违法行为危害后果的；</w:t>
      </w:r>
    </w:p>
    <w:p w:rsidR="0073656B" w:rsidRPr="00CA2B67" w:rsidRDefault="0073656B" w:rsidP="0073656B">
      <w:pPr>
        <w:pStyle w:val="a5"/>
        <w:overflowPunct w:val="0"/>
        <w:adjustRightInd w:val="0"/>
        <w:snapToGrid w:val="0"/>
        <w:spacing w:line="300" w:lineRule="auto"/>
        <w:ind w:firstLineChars="200" w:firstLine="640"/>
        <w:jc w:val="both"/>
        <w:rPr>
          <w:rFonts w:eastAsia="方正仿宋_GBK"/>
          <w:spacing w:val="0"/>
          <w:sz w:val="32"/>
          <w:szCs w:val="32"/>
        </w:rPr>
      </w:pPr>
      <w:r w:rsidRPr="00CA2B67">
        <w:rPr>
          <w:rFonts w:eastAsia="方正仿宋_GBK" w:hint="eastAsia"/>
          <w:spacing w:val="0"/>
          <w:sz w:val="32"/>
          <w:szCs w:val="32"/>
        </w:rPr>
        <w:t>（二）主动配合调查处理有立功表现的；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（三）其他依法应当从轻或者减轻行政处罚的。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</w:pPr>
      <w:r w:rsidRPr="00CA2B67">
        <w:rPr>
          <w:rFonts w:eastAsia="方正黑体_GBK" w:hint="eastAsia"/>
          <w:sz w:val="32"/>
          <w:szCs w:val="32"/>
        </w:rPr>
        <w:t>第八条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有下列情形之一的，可以从轻或者减轻行政处罚：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（一）为了公共利益的需要，由政府组织实施的市级以上能源、交通、水利等重大基础设施项目，且已履行立项、环评、用地预审等前置报批手续的；</w:t>
      </w:r>
    </w:p>
    <w:p w:rsidR="0073656B" w:rsidRPr="00CA2B67" w:rsidRDefault="0073656B" w:rsidP="0073656B">
      <w:pPr>
        <w:pStyle w:val="a5"/>
        <w:overflowPunct w:val="0"/>
        <w:adjustRightInd w:val="0"/>
        <w:snapToGrid w:val="0"/>
        <w:spacing w:line="300" w:lineRule="auto"/>
        <w:ind w:firstLineChars="200" w:firstLine="640"/>
        <w:jc w:val="both"/>
        <w:rPr>
          <w:rFonts w:eastAsia="方正仿宋_GBK"/>
          <w:spacing w:val="0"/>
          <w:sz w:val="32"/>
          <w:szCs w:val="32"/>
        </w:rPr>
      </w:pPr>
      <w:r w:rsidRPr="00CA2B67">
        <w:rPr>
          <w:rFonts w:eastAsia="方正仿宋_GBK" w:hint="eastAsia"/>
          <w:spacing w:val="0"/>
          <w:sz w:val="32"/>
          <w:szCs w:val="32"/>
        </w:rPr>
        <w:t>（二）当事人已经主动拆除整改，拆除到位的违法建（构）筑物建筑面积达到违法建（构）筑物总面积</w:t>
      </w:r>
      <w:r w:rsidRPr="00CA2B67">
        <w:rPr>
          <w:rFonts w:eastAsia="方正仿宋_GBK"/>
          <w:spacing w:val="0"/>
          <w:sz w:val="32"/>
          <w:szCs w:val="32"/>
        </w:rPr>
        <w:t>50%</w:t>
      </w:r>
      <w:r w:rsidRPr="00CA2B67">
        <w:rPr>
          <w:rFonts w:eastAsia="方正仿宋_GBK" w:hint="eastAsia"/>
          <w:spacing w:val="0"/>
          <w:sz w:val="32"/>
          <w:szCs w:val="32"/>
        </w:rPr>
        <w:t>以上，且退出</w:t>
      </w:r>
      <w:r w:rsidRPr="00CA2B67">
        <w:rPr>
          <w:rFonts w:eastAsia="方正仿宋_GBK" w:hint="eastAsia"/>
          <w:spacing w:val="0"/>
          <w:sz w:val="32"/>
          <w:szCs w:val="32"/>
        </w:rPr>
        <w:lastRenderedPageBreak/>
        <w:t>的违法建（构）筑物占地面积达到违法占地总面积</w:t>
      </w:r>
      <w:r w:rsidRPr="00CA2B67">
        <w:rPr>
          <w:rFonts w:eastAsia="方正仿宋_GBK"/>
          <w:spacing w:val="0"/>
          <w:sz w:val="32"/>
          <w:szCs w:val="32"/>
        </w:rPr>
        <w:t>50%</w:t>
      </w:r>
      <w:r w:rsidRPr="00CA2B67">
        <w:rPr>
          <w:rFonts w:eastAsia="方正仿宋_GBK" w:hint="eastAsia"/>
          <w:spacing w:val="0"/>
          <w:sz w:val="32"/>
          <w:szCs w:val="32"/>
        </w:rPr>
        <w:t>以上的；</w:t>
      </w:r>
    </w:p>
    <w:p w:rsidR="0073656B" w:rsidRPr="00CA2B67" w:rsidRDefault="0073656B" w:rsidP="0073656B">
      <w:pPr>
        <w:pStyle w:val="a5"/>
        <w:overflowPunct w:val="0"/>
        <w:adjustRightInd w:val="0"/>
        <w:snapToGrid w:val="0"/>
        <w:spacing w:line="300" w:lineRule="auto"/>
        <w:ind w:firstLineChars="200" w:firstLine="640"/>
        <w:jc w:val="both"/>
        <w:rPr>
          <w:rFonts w:eastAsia="方正仿宋_GBK"/>
          <w:spacing w:val="0"/>
          <w:sz w:val="32"/>
          <w:szCs w:val="32"/>
        </w:rPr>
      </w:pPr>
      <w:r w:rsidRPr="00CA2B67">
        <w:rPr>
          <w:rFonts w:eastAsia="方正仿宋_GBK" w:hint="eastAsia"/>
          <w:spacing w:val="0"/>
          <w:sz w:val="32"/>
          <w:szCs w:val="32"/>
        </w:rPr>
        <w:t>（三）因抢险救灾、疫情防控等应急需要使用土地的，在应急处置工作结束后，属于临时使用土地的，用后</w:t>
      </w:r>
      <w:r w:rsidRPr="00CA2B67">
        <w:rPr>
          <w:rFonts w:eastAsia="方正仿宋_GBK"/>
          <w:spacing w:val="0"/>
          <w:sz w:val="32"/>
          <w:szCs w:val="32"/>
        </w:rPr>
        <w:t>1</w:t>
      </w:r>
      <w:r w:rsidRPr="00CA2B67">
        <w:rPr>
          <w:rFonts w:eastAsia="方正仿宋_GBK" w:hint="eastAsia"/>
          <w:spacing w:val="0"/>
          <w:sz w:val="32"/>
          <w:szCs w:val="32"/>
        </w:rPr>
        <w:t>年内未恢复原状的；属于永久性建设用地的，在规定期限内未及时申请补办建设用地审批手续的；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</w:pPr>
      <w:r w:rsidRPr="00CA2B67">
        <w:rPr>
          <w:rFonts w:eastAsia="方正仿宋_GBK" w:hint="eastAsia"/>
          <w:sz w:val="32"/>
          <w:szCs w:val="32"/>
        </w:rPr>
        <w:t>（四）其他依法可以从轻或者减轻行政处罚的。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第九条</w:t>
      </w:r>
      <w:r w:rsidRPr="00CA2B67">
        <w:rPr>
          <w:rFonts w:eastAsia="方正黑体_GBK"/>
          <w:sz w:val="32"/>
          <w:szCs w:val="32"/>
        </w:rPr>
        <w:t xml:space="preserve"> </w:t>
      </w:r>
      <w:r w:rsidRPr="00CA2B67">
        <w:rPr>
          <w:rFonts w:eastAsia="方正仿宋_GBK"/>
          <w:sz w:val="32"/>
          <w:szCs w:val="32"/>
        </w:rPr>
        <w:t xml:space="preserve"> </w:t>
      </w:r>
      <w:r w:rsidRPr="00CA2B67">
        <w:rPr>
          <w:rFonts w:eastAsia="方正仿宋_GBK" w:hint="eastAsia"/>
          <w:sz w:val="32"/>
          <w:szCs w:val="32"/>
        </w:rPr>
        <w:t>有下列情形之一的，可以从重行政处罚：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（一）经依法书面制止，仍继续实施土地违法行为，致使危害后果进一步扩大的；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（二）故意销毁、转移、隐匿或者伪造证据的；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（三）拒绝、拖延配合调查，严重阻碍调查进程的；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（四）以暴力或者其他方式妨碍、阻挠、抗拒执法的；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（五）对检举人、举报人或者执法人员实施打击报复的；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</w:pPr>
      <w:r w:rsidRPr="00CA2B67">
        <w:rPr>
          <w:rFonts w:eastAsia="方正仿宋_GBK" w:hint="eastAsia"/>
          <w:sz w:val="32"/>
          <w:szCs w:val="32"/>
        </w:rPr>
        <w:t>（六）违法行为引发重大安全事故、重大生态环境破坏、重大负面舆情、群体性事件或者其他重大不良社会影响的；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（七）违法用地涉及生态保护红线的；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（八）其他依法可以从重行政处罚的。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规划资源部门行使裁量权时，对同时具有从轻或者减轻、从重行政处罚情节的，应当遵循综合考量原则，根据其主要情节适用裁量基准。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对同时具有两个以上从轻行政处罚情节，并且不具有从重行政处罚情节的，可以按照该违法行为对应违法情形的最低罚</w:t>
      </w:r>
      <w:r w:rsidRPr="00CA2B67">
        <w:rPr>
          <w:rFonts w:eastAsia="方正仿宋_GBK" w:hint="eastAsia"/>
          <w:sz w:val="32"/>
          <w:szCs w:val="32"/>
        </w:rPr>
        <w:lastRenderedPageBreak/>
        <w:t>款标准给予行政处罚。同时具有两个以上从重行政处罚情节，并且不具有从轻或者减轻行政处罚情节的，可以按照该违法行为对应违法情形的最高罚款标准给予行政处罚。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仿宋_GBK" w:hint="eastAsia"/>
          <w:sz w:val="32"/>
          <w:szCs w:val="32"/>
        </w:rPr>
        <w:t>对当事人的同一违法行为，不得给予两次以上罚款的行政处罚。同一个违法行为违反多个法律规范应当给予罚款行政处罚的，按照罚款数额高的规定给予行政处罚。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第十一条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案件调查人员应当全面、客观、公正地调查，收集当事人是否具有不予行政处罚、不并处罚款处罚、从轻或者减轻行政处罚、从重行政处罚等情节的证据，并在调查报告中具体说明行使裁量权的建议及其事实、理由和依据。相关证据材料归入行政处罚案卷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第十二条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案件审理人员应当对行使裁量权的事实、理由和依据进行审查，提出审理意见。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第十三条</w:t>
      </w:r>
      <w:r w:rsidRPr="00CA2B67">
        <w:rPr>
          <w:rFonts w:eastAsia="方正黑体_GBK"/>
          <w:sz w:val="32"/>
          <w:szCs w:val="32"/>
        </w:rPr>
        <w:t xml:space="preserve"> </w:t>
      </w:r>
      <w:r w:rsidRPr="00CA2B67">
        <w:rPr>
          <w:rFonts w:eastAsia="方正仿宋_GBK"/>
          <w:b/>
          <w:bCs/>
          <w:sz w:val="32"/>
          <w:szCs w:val="32"/>
        </w:rPr>
        <w:t xml:space="preserve"> </w:t>
      </w:r>
      <w:r w:rsidRPr="00CA2B67">
        <w:rPr>
          <w:rFonts w:eastAsia="方正仿宋_GBK" w:hint="eastAsia"/>
          <w:sz w:val="32"/>
          <w:szCs w:val="32"/>
        </w:rPr>
        <w:t>案件调查人员或者审理人员在研究行使裁量权时，应当对照本实施细则的规定，提出裁量建议。</w:t>
      </w:r>
    </w:p>
    <w:p w:rsidR="0073656B" w:rsidRPr="00CA2B67" w:rsidRDefault="0073656B" w:rsidP="0073656B">
      <w:pPr>
        <w:pStyle w:val="a5"/>
        <w:overflowPunct w:val="0"/>
        <w:adjustRightInd w:val="0"/>
        <w:snapToGrid w:val="0"/>
        <w:spacing w:line="300" w:lineRule="auto"/>
        <w:ind w:firstLineChars="200" w:firstLine="640"/>
        <w:jc w:val="both"/>
        <w:rPr>
          <w:rFonts w:eastAsia="方正仿宋_GBK"/>
          <w:spacing w:val="0"/>
          <w:sz w:val="32"/>
          <w:szCs w:val="32"/>
        </w:rPr>
      </w:pPr>
      <w:r w:rsidRPr="00CA2B67">
        <w:rPr>
          <w:rFonts w:eastAsia="方正仿宋_GBK" w:hint="eastAsia"/>
          <w:spacing w:val="0"/>
          <w:sz w:val="32"/>
          <w:szCs w:val="32"/>
        </w:rPr>
        <w:t>需要进行法制审核的，法制审核人员应当对裁量权行使是否适当进行审核。未经法制审核或法制审核未通过的，不得提交决策。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第十四条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法律法规规定责令限期改正的，应当给予合理的改正期限。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第十五条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属重大违法行为或者情节复杂的，规划资源部门负责人应当集体讨论决定。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z w:val="32"/>
          <w:szCs w:val="32"/>
          <w:u w:val="single"/>
        </w:rPr>
      </w:pPr>
      <w:r w:rsidRPr="00CA2B67">
        <w:rPr>
          <w:rFonts w:eastAsia="方正仿宋_GBK" w:hint="eastAsia"/>
          <w:sz w:val="32"/>
          <w:szCs w:val="32"/>
        </w:rPr>
        <w:lastRenderedPageBreak/>
        <w:t>执法机构负责人认为确有必要的，也可提请规划资源部门负责人集体讨论决定。</w:t>
      </w:r>
      <w:r w:rsidRPr="00CA2B67">
        <w:rPr>
          <w:rFonts w:eastAsia="方正仿宋_GBK"/>
          <w:sz w:val="32"/>
          <w:szCs w:val="32"/>
        </w:rPr>
        <w:t xml:space="preserve">  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  <w:rPr>
          <w:rFonts w:eastAsia="方正仿宋_GBK"/>
          <w:strike/>
          <w:sz w:val="32"/>
          <w:szCs w:val="32"/>
          <w:u w:val="single"/>
        </w:rPr>
      </w:pPr>
      <w:r w:rsidRPr="00CA2B67">
        <w:rPr>
          <w:rFonts w:eastAsia="方正黑体_GBK" w:hint="eastAsia"/>
          <w:sz w:val="32"/>
          <w:szCs w:val="32"/>
        </w:rPr>
        <w:t>第十六条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适用行政处罚裁量基准将导致个案处罚明显不当的，规划资源部门可以在不与法律、法规和规章立法目的、法律精神相抵触的情况下，调整适用裁量阶次，但必须充分说明理由，经规划资源部门负责人集体讨论决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第十七条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发现行使裁量权明显不当的，作出行政处罚的机关应当及时纠正。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第十八</w:t>
      </w:r>
      <w:r w:rsidRPr="00CA2B67">
        <w:rPr>
          <w:rFonts w:eastAsia="黑体" w:hint="eastAsia"/>
          <w:sz w:val="32"/>
          <w:szCs w:val="32"/>
        </w:rPr>
        <w:t>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行政处罚适用的裁量基准与违法事实、性质、情节或危害程度明显不符的，应当认定为行使裁量权明显不当。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第十九条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市规划和自然资源局依据本细则制定《南京市常用土地行政处罚裁量基准》（以下简称《裁量基准》）。《裁量基准》中没有规定的情形，应当根据相关法律、法规、规章及本细则确定的原则行使裁量权。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Chars="200" w:firstLine="640"/>
      </w:pPr>
      <w:r w:rsidRPr="00CA2B67">
        <w:rPr>
          <w:rFonts w:eastAsia="方正黑体_GBK" w:hint="eastAsia"/>
          <w:sz w:val="32"/>
          <w:szCs w:val="32"/>
        </w:rPr>
        <w:t>第二十条</w:t>
      </w:r>
      <w:r w:rsidRPr="00CA2B67">
        <w:rPr>
          <w:rFonts w:eastAsia="方正黑体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本细则所称“减轻行政处罚”，是指在法定行政处罚罚款标准最低值以下给予行政处罚；“从轻行政处罚”，是指在《裁量基准》规定的不同违法情形对应的罚款标准最低值以上、中间值以下给予行政处罚；“从重行政处罚”，是指在《裁量基准》规定的不同违法情形对应的罚款标准中间值以上、最高值以下给予行政处罚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t>第二十一条</w:t>
      </w:r>
      <w:r w:rsidRPr="00CA2B67">
        <w:rPr>
          <w:rFonts w:eastAsia="方正仿宋_GBK"/>
          <w:sz w:val="32"/>
          <w:szCs w:val="32"/>
        </w:rPr>
        <w:t xml:space="preserve">  </w:t>
      </w:r>
      <w:r w:rsidRPr="00CA2B67">
        <w:rPr>
          <w:rFonts w:eastAsia="方正仿宋_GBK" w:hint="eastAsia"/>
          <w:sz w:val="32"/>
          <w:szCs w:val="32"/>
        </w:rPr>
        <w:t>本细则所称“以上”包含本数；“以下”不包含本数，处法定最高罚款数额除外。</w:t>
      </w:r>
    </w:p>
    <w:p w:rsidR="0073656B" w:rsidRPr="00CA2B67" w:rsidRDefault="0073656B" w:rsidP="0073656B">
      <w:pPr>
        <w:overflowPunct w:val="0"/>
        <w:adjustRightInd w:val="0"/>
        <w:snapToGrid w:val="0"/>
        <w:spacing w:line="300" w:lineRule="auto"/>
        <w:ind w:firstLine="640"/>
        <w:rPr>
          <w:rFonts w:eastAsia="方正仿宋_GBK"/>
          <w:sz w:val="32"/>
          <w:szCs w:val="32"/>
        </w:rPr>
      </w:pPr>
      <w:r w:rsidRPr="00CA2B67">
        <w:rPr>
          <w:rFonts w:eastAsia="方正黑体_GBK" w:hint="eastAsia"/>
          <w:sz w:val="32"/>
          <w:szCs w:val="32"/>
        </w:rPr>
        <w:lastRenderedPageBreak/>
        <w:t>第二十二条</w:t>
      </w:r>
      <w:r w:rsidRPr="00CA2B67">
        <w:rPr>
          <w:rFonts w:eastAsia="方正黑体_GBK"/>
          <w:sz w:val="32"/>
          <w:szCs w:val="32"/>
        </w:rPr>
        <w:t xml:space="preserve"> </w:t>
      </w:r>
      <w:r w:rsidRPr="00CA2B67">
        <w:rPr>
          <w:rFonts w:eastAsia="方正仿宋_GBK"/>
          <w:sz w:val="32"/>
          <w:szCs w:val="32"/>
        </w:rPr>
        <w:t xml:space="preserve"> </w:t>
      </w:r>
      <w:r w:rsidRPr="00CA2B67">
        <w:rPr>
          <w:rFonts w:eastAsia="方正仿宋_GBK" w:hint="eastAsia"/>
          <w:sz w:val="32"/>
          <w:szCs w:val="32"/>
        </w:rPr>
        <w:t>本细则和《裁量基准》自</w:t>
      </w:r>
      <w:r w:rsidRPr="00CA2B67">
        <w:rPr>
          <w:rFonts w:eastAsia="方正仿宋_GBK"/>
          <w:sz w:val="32"/>
          <w:szCs w:val="32"/>
        </w:rPr>
        <w:t>2024</w:t>
      </w:r>
      <w:r w:rsidRPr="00CA2B67">
        <w:rPr>
          <w:rFonts w:eastAsia="方正仿宋_GBK" w:hint="eastAsia"/>
          <w:sz w:val="32"/>
          <w:szCs w:val="32"/>
        </w:rPr>
        <w:t>年</w:t>
      </w:r>
      <w:r w:rsidRPr="00CA2B67">
        <w:rPr>
          <w:rFonts w:eastAsia="方正仿宋_GBK"/>
          <w:sz w:val="32"/>
          <w:szCs w:val="32"/>
        </w:rPr>
        <w:t>2</w:t>
      </w:r>
      <w:r w:rsidRPr="00CA2B67">
        <w:rPr>
          <w:rFonts w:eastAsia="方正仿宋_GBK" w:hint="eastAsia"/>
          <w:sz w:val="32"/>
          <w:szCs w:val="32"/>
        </w:rPr>
        <w:t>月</w:t>
      </w:r>
      <w:r w:rsidRPr="00CA2B67">
        <w:rPr>
          <w:rFonts w:eastAsia="方正仿宋_GBK"/>
          <w:sz w:val="32"/>
          <w:szCs w:val="32"/>
        </w:rPr>
        <w:t>1</w:t>
      </w:r>
      <w:r w:rsidRPr="00CA2B67">
        <w:rPr>
          <w:rFonts w:eastAsia="方正仿宋_GBK" w:hint="eastAsia"/>
          <w:sz w:val="32"/>
          <w:szCs w:val="32"/>
        </w:rPr>
        <w:t>日起施行，有效期至</w:t>
      </w:r>
      <w:r w:rsidRPr="00CA2B67">
        <w:rPr>
          <w:rFonts w:eastAsia="方正仿宋_GBK"/>
          <w:sz w:val="32"/>
          <w:szCs w:val="32"/>
        </w:rPr>
        <w:t>2029</w:t>
      </w:r>
      <w:r w:rsidRPr="00CA2B67">
        <w:rPr>
          <w:rFonts w:eastAsia="方正仿宋_GBK" w:hint="eastAsia"/>
          <w:sz w:val="32"/>
          <w:szCs w:val="32"/>
        </w:rPr>
        <w:t>年</w:t>
      </w:r>
      <w:r w:rsidRPr="00CA2B67">
        <w:rPr>
          <w:rFonts w:eastAsia="方正仿宋_GBK"/>
          <w:sz w:val="32"/>
          <w:szCs w:val="32"/>
        </w:rPr>
        <w:t>1</w:t>
      </w:r>
      <w:r w:rsidRPr="00CA2B67">
        <w:rPr>
          <w:rFonts w:eastAsia="方正仿宋_GBK" w:hint="eastAsia"/>
          <w:sz w:val="32"/>
          <w:szCs w:val="32"/>
        </w:rPr>
        <w:t>月</w:t>
      </w:r>
      <w:r w:rsidRPr="00CA2B67">
        <w:rPr>
          <w:rFonts w:eastAsia="方正仿宋_GBK"/>
          <w:sz w:val="32"/>
          <w:szCs w:val="32"/>
        </w:rPr>
        <w:t>31</w:t>
      </w:r>
      <w:r w:rsidRPr="00CA2B67">
        <w:rPr>
          <w:rFonts w:eastAsia="方正仿宋_GBK" w:hint="eastAsia"/>
          <w:sz w:val="32"/>
          <w:szCs w:val="32"/>
        </w:rPr>
        <w:t>日。《南京市国土资源局关于印发〈南京市国土资源行政处罚自由裁量权实施细则（试行）〉的通知》（宁国土规〔</w:t>
      </w:r>
      <w:r w:rsidRPr="00CA2B67">
        <w:rPr>
          <w:rFonts w:eastAsia="方正仿宋_GBK"/>
          <w:sz w:val="32"/>
          <w:szCs w:val="32"/>
        </w:rPr>
        <w:t>2016</w:t>
      </w:r>
      <w:r w:rsidRPr="00CA2B67">
        <w:rPr>
          <w:rFonts w:eastAsia="方正仿宋_GBK" w:hint="eastAsia"/>
          <w:sz w:val="32"/>
          <w:szCs w:val="32"/>
        </w:rPr>
        <w:t>〕</w:t>
      </w:r>
      <w:r w:rsidRPr="00CA2B67">
        <w:rPr>
          <w:rFonts w:eastAsia="方正仿宋_GBK"/>
          <w:sz w:val="32"/>
          <w:szCs w:val="32"/>
        </w:rPr>
        <w:t>2</w:t>
      </w:r>
      <w:r w:rsidRPr="00CA2B67">
        <w:rPr>
          <w:rFonts w:eastAsia="方正仿宋_GBK" w:hint="eastAsia"/>
          <w:sz w:val="32"/>
          <w:szCs w:val="32"/>
        </w:rPr>
        <w:t>号）中涉及土地类的裁量权实施细则和裁量基准同时废止。</w:t>
      </w:r>
    </w:p>
    <w:p w:rsidR="009E6524" w:rsidRPr="0073656B" w:rsidRDefault="009E6524"/>
    <w:sectPr w:rsidR="009E6524" w:rsidRPr="0073656B" w:rsidSect="0073656B">
      <w:pgSz w:w="11906" w:h="16838"/>
      <w:pgMar w:top="2098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524" w:rsidRDefault="009E6524" w:rsidP="0073656B">
      <w:r>
        <w:separator/>
      </w:r>
    </w:p>
  </w:endnote>
  <w:endnote w:type="continuationSeparator" w:id="1">
    <w:p w:rsidR="009E6524" w:rsidRDefault="009E6524" w:rsidP="0073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524" w:rsidRDefault="009E6524" w:rsidP="0073656B">
      <w:r>
        <w:separator/>
      </w:r>
    </w:p>
  </w:footnote>
  <w:footnote w:type="continuationSeparator" w:id="1">
    <w:p w:rsidR="009E6524" w:rsidRDefault="009E6524" w:rsidP="007365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656B"/>
    <w:rsid w:val="0073656B"/>
    <w:rsid w:val="009E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6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6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6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656B"/>
    <w:rPr>
      <w:sz w:val="18"/>
      <w:szCs w:val="18"/>
    </w:rPr>
  </w:style>
  <w:style w:type="paragraph" w:styleId="a5">
    <w:name w:val="Body Text"/>
    <w:basedOn w:val="a"/>
    <w:link w:val="Char1"/>
    <w:rsid w:val="0073656B"/>
    <w:pPr>
      <w:jc w:val="center"/>
    </w:pPr>
    <w:rPr>
      <w:rFonts w:ascii="Times New Roman" w:eastAsia="黑体" w:hAnsi="Times New Roman" w:cs="Times New Roman"/>
      <w:spacing w:val="-20"/>
      <w:sz w:val="36"/>
      <w:szCs w:val="20"/>
    </w:rPr>
  </w:style>
  <w:style w:type="character" w:customStyle="1" w:styleId="Char1">
    <w:name w:val="正文文本 Char"/>
    <w:basedOn w:val="a0"/>
    <w:link w:val="a5"/>
    <w:rsid w:val="0073656B"/>
    <w:rPr>
      <w:rFonts w:ascii="Times New Roman" w:eastAsia="黑体" w:hAnsi="Times New Roman" w:cs="Times New Roman"/>
      <w:spacing w:val="-20"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2024-01-02T01:56:00Z</dcterms:created>
  <dcterms:modified xsi:type="dcterms:W3CDTF">2024-01-02T01:59:00Z</dcterms:modified>
</cp:coreProperties>
</file>